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0"/>
        <w:gridCol w:w="5050"/>
      </w:tblGrid>
      <w:tr w:rsidR="00620ABB" w:rsidRPr="0064177F" w14:paraId="5B910E32" w14:textId="77777777" w:rsidTr="00C86A69">
        <w:trPr>
          <w:trHeight w:val="398"/>
        </w:trPr>
        <w:tc>
          <w:tcPr>
            <w:tcW w:w="9350" w:type="dxa"/>
            <w:gridSpan w:val="2"/>
          </w:tcPr>
          <w:p w14:paraId="5A7BD46C" w14:textId="77777777" w:rsidR="00620ABB" w:rsidRPr="00A84C6E" w:rsidRDefault="00620ABB" w:rsidP="00C86A69">
            <w:pPr>
              <w:spacing w:after="160" w:line="259" w:lineRule="auto"/>
              <w:ind w:left="107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A84C6E">
              <w:rPr>
                <w:rFonts w:eastAsia="Calibr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620ABB" w:rsidRPr="0064177F" w14:paraId="67AC0C26" w14:textId="77777777" w:rsidTr="00C86A69">
        <w:trPr>
          <w:trHeight w:val="398"/>
        </w:trPr>
        <w:tc>
          <w:tcPr>
            <w:tcW w:w="9350" w:type="dxa"/>
            <w:gridSpan w:val="2"/>
          </w:tcPr>
          <w:p w14:paraId="66DA81A2" w14:textId="77777777" w:rsidR="00620ABB" w:rsidRPr="00A84C6E" w:rsidRDefault="00620ABB" w:rsidP="00C86A69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A84C6E">
              <w:rPr>
                <w:rFonts w:eastAsia="Calibri" w:cstheme="minorHAnsi"/>
                <w:b/>
                <w:sz w:val="16"/>
                <w:szCs w:val="16"/>
              </w:rPr>
              <w:t>Vysoká</w:t>
            </w:r>
            <w:r w:rsidRPr="00A84C6E">
              <w:rPr>
                <w:rFonts w:eastAsia="Calibr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b/>
                <w:sz w:val="16"/>
                <w:szCs w:val="16"/>
              </w:rPr>
              <w:t>škola:</w:t>
            </w:r>
            <w:r w:rsidRPr="00A84C6E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sz w:val="16"/>
                <w:szCs w:val="16"/>
              </w:rPr>
              <w:t>Vysoká</w:t>
            </w:r>
            <w:r w:rsidRPr="00A84C6E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sz w:val="16"/>
                <w:szCs w:val="16"/>
              </w:rPr>
              <w:t>škola</w:t>
            </w:r>
            <w:r w:rsidRPr="00A84C6E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sz w:val="16"/>
                <w:szCs w:val="16"/>
              </w:rPr>
              <w:t>zdravotníctva</w:t>
            </w:r>
            <w:r w:rsidRPr="00A84C6E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sz w:val="16"/>
                <w:szCs w:val="16"/>
              </w:rPr>
              <w:t>a</w:t>
            </w:r>
            <w:r w:rsidRPr="00A84C6E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sz w:val="16"/>
                <w:szCs w:val="16"/>
              </w:rPr>
              <w:t>sociálnej</w:t>
            </w:r>
            <w:r w:rsidRPr="00A84C6E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sz w:val="16"/>
                <w:szCs w:val="16"/>
              </w:rPr>
              <w:t>práce</w:t>
            </w:r>
            <w:r w:rsidRPr="00A84C6E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sz w:val="16"/>
                <w:szCs w:val="16"/>
              </w:rPr>
              <w:t>sv.</w:t>
            </w:r>
            <w:r w:rsidRPr="00A84C6E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sz w:val="16"/>
                <w:szCs w:val="16"/>
              </w:rPr>
              <w:t>Alžbety</w:t>
            </w:r>
            <w:r w:rsidRPr="00A84C6E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sz w:val="16"/>
                <w:szCs w:val="16"/>
              </w:rPr>
              <w:t>v</w:t>
            </w:r>
            <w:r w:rsidRPr="00A84C6E">
              <w:rPr>
                <w:rFonts w:eastAsia="Calibri" w:cstheme="minorHAnsi"/>
                <w:spacing w:val="-2"/>
                <w:sz w:val="16"/>
                <w:szCs w:val="16"/>
              </w:rPr>
              <w:t> </w:t>
            </w:r>
            <w:r w:rsidRPr="00A84C6E">
              <w:rPr>
                <w:rFonts w:eastAsia="Calibri" w:cstheme="minorHAnsi"/>
                <w:sz w:val="16"/>
                <w:szCs w:val="16"/>
              </w:rPr>
              <w:t>Bratislave</w:t>
            </w:r>
          </w:p>
        </w:tc>
      </w:tr>
      <w:tr w:rsidR="00620ABB" w:rsidRPr="0064177F" w14:paraId="154F3EBF" w14:textId="77777777" w:rsidTr="00C86A69">
        <w:trPr>
          <w:trHeight w:val="395"/>
        </w:trPr>
        <w:tc>
          <w:tcPr>
            <w:tcW w:w="9350" w:type="dxa"/>
            <w:gridSpan w:val="2"/>
          </w:tcPr>
          <w:p w14:paraId="4E5B0803" w14:textId="77777777" w:rsidR="00620ABB" w:rsidRPr="00A84C6E" w:rsidRDefault="00620ABB" w:rsidP="00C86A69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A84C6E">
              <w:rPr>
                <w:rFonts w:eastAsia="Calibri" w:cstheme="minorHAnsi"/>
                <w:b/>
                <w:sz w:val="16"/>
                <w:szCs w:val="16"/>
              </w:rPr>
              <w:t xml:space="preserve">Pracovisko: </w:t>
            </w:r>
            <w:r w:rsidRPr="00A84C6E">
              <w:rPr>
                <w:rFonts w:eastAsia="Calibri" w:cstheme="minorHAnsi"/>
                <w:bCs/>
                <w:sz w:val="16"/>
                <w:szCs w:val="16"/>
              </w:rPr>
              <w:t>Katedra psychológie, Bratislava</w:t>
            </w:r>
            <w:r w:rsidRPr="00A84C6E">
              <w:rPr>
                <w:rFonts w:eastAsia="Calibr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620ABB" w:rsidRPr="0064177F" w14:paraId="1A4A3ED0" w14:textId="77777777" w:rsidTr="00C86A69">
        <w:trPr>
          <w:trHeight w:val="397"/>
        </w:trPr>
        <w:tc>
          <w:tcPr>
            <w:tcW w:w="4300" w:type="dxa"/>
          </w:tcPr>
          <w:p w14:paraId="1C26EF32" w14:textId="77777777" w:rsidR="00620ABB" w:rsidRPr="00A84C6E" w:rsidRDefault="00620ABB" w:rsidP="00C86A69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A84C6E">
              <w:rPr>
                <w:rFonts w:eastAsia="Calibri" w:cstheme="minorHAnsi"/>
                <w:b/>
                <w:sz w:val="16"/>
                <w:szCs w:val="16"/>
              </w:rPr>
              <w:t>Kód</w:t>
            </w:r>
            <w:r w:rsidRPr="00A84C6E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b/>
                <w:sz w:val="16"/>
                <w:szCs w:val="16"/>
              </w:rPr>
              <w:t>predmetu:</w:t>
            </w:r>
            <w:r w:rsidRPr="00A84C6E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bCs/>
                <w:spacing w:val="-1"/>
                <w:sz w:val="16"/>
                <w:szCs w:val="16"/>
              </w:rPr>
              <w:t>0-1931d</w:t>
            </w:r>
          </w:p>
        </w:tc>
        <w:tc>
          <w:tcPr>
            <w:tcW w:w="5050" w:type="dxa"/>
          </w:tcPr>
          <w:p w14:paraId="1CB3016C" w14:textId="77777777" w:rsidR="00620ABB" w:rsidRPr="00A84C6E" w:rsidRDefault="00620ABB" w:rsidP="00C86A69">
            <w:pPr>
              <w:spacing w:after="160" w:line="259" w:lineRule="auto"/>
              <w:ind w:left="108"/>
              <w:rPr>
                <w:rFonts w:eastAsia="Calibri" w:cstheme="minorHAnsi"/>
                <w:b/>
                <w:sz w:val="16"/>
                <w:szCs w:val="16"/>
              </w:rPr>
            </w:pPr>
            <w:r w:rsidRPr="00A84C6E">
              <w:rPr>
                <w:rFonts w:eastAsia="Calibri" w:cstheme="minorHAnsi"/>
                <w:b/>
                <w:sz w:val="16"/>
                <w:szCs w:val="16"/>
              </w:rPr>
              <w:t>Názov</w:t>
            </w:r>
            <w:r w:rsidRPr="00A84C6E">
              <w:rPr>
                <w:rFonts w:eastAsia="Calibr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b/>
                <w:sz w:val="16"/>
                <w:szCs w:val="16"/>
              </w:rPr>
              <w:t xml:space="preserve">predmetu: </w:t>
            </w:r>
            <w:r w:rsidRPr="00A84C6E">
              <w:rPr>
                <w:rFonts w:eastAsia="Calibri" w:cstheme="minorHAnsi"/>
                <w:sz w:val="16"/>
                <w:szCs w:val="16"/>
              </w:rPr>
              <w:t xml:space="preserve"> Edukačná  psychológia  </w:t>
            </w:r>
          </w:p>
        </w:tc>
      </w:tr>
      <w:tr w:rsidR="00620ABB" w:rsidRPr="0064177F" w14:paraId="3ED4E7B9" w14:textId="77777777" w:rsidTr="00C86A69">
        <w:trPr>
          <w:trHeight w:val="470"/>
        </w:trPr>
        <w:tc>
          <w:tcPr>
            <w:tcW w:w="9350" w:type="dxa"/>
            <w:gridSpan w:val="2"/>
          </w:tcPr>
          <w:p w14:paraId="1F21DE0A" w14:textId="77777777" w:rsidR="00F1570E" w:rsidRPr="00A84C6E" w:rsidRDefault="00620ABB" w:rsidP="00F1570E">
            <w:pPr>
              <w:spacing w:after="160" w:line="259" w:lineRule="auto"/>
              <w:ind w:left="107"/>
              <w:rPr>
                <w:rFonts w:cstheme="minorHAnsi"/>
                <w:sz w:val="16"/>
                <w:szCs w:val="16"/>
                <w:lang w:eastAsia="sk-SK"/>
              </w:rPr>
            </w:pPr>
            <w:r w:rsidRPr="00A84C6E">
              <w:rPr>
                <w:rFonts w:eastAsia="Calibri" w:cstheme="minorHAnsi"/>
                <w:b/>
                <w:sz w:val="16"/>
                <w:szCs w:val="16"/>
              </w:rPr>
              <w:t>Druh,</w:t>
            </w:r>
            <w:r w:rsidRPr="00A84C6E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b/>
                <w:sz w:val="16"/>
                <w:szCs w:val="16"/>
              </w:rPr>
              <w:t>rozsah</w:t>
            </w:r>
            <w:r w:rsidRPr="00A84C6E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b/>
                <w:sz w:val="16"/>
                <w:szCs w:val="16"/>
              </w:rPr>
              <w:t>a</w:t>
            </w:r>
            <w:r w:rsidRPr="00A84C6E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b/>
                <w:sz w:val="16"/>
                <w:szCs w:val="16"/>
              </w:rPr>
              <w:t>metóda</w:t>
            </w:r>
            <w:r w:rsidRPr="00A84C6E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b/>
                <w:sz w:val="16"/>
                <w:szCs w:val="16"/>
              </w:rPr>
              <w:t>vzdelávacích</w:t>
            </w:r>
            <w:r w:rsidRPr="00A84C6E">
              <w:rPr>
                <w:rFonts w:eastAsia="Calibr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b/>
                <w:sz w:val="16"/>
                <w:szCs w:val="16"/>
              </w:rPr>
              <w:t xml:space="preserve">činností: </w:t>
            </w:r>
          </w:p>
          <w:p w14:paraId="293BDB7A" w14:textId="77777777" w:rsidR="00F1570E" w:rsidRPr="00A84C6E" w:rsidRDefault="00464FCC" w:rsidP="00F1570E">
            <w:pPr>
              <w:spacing w:after="160" w:line="259" w:lineRule="auto"/>
              <w:ind w:left="107"/>
              <w:rPr>
                <w:rFonts w:cstheme="minorHAnsi"/>
                <w:sz w:val="16"/>
                <w:szCs w:val="16"/>
                <w:lang w:eastAsia="sk-SK"/>
              </w:rPr>
            </w:pPr>
            <w:r w:rsidRPr="00A84C6E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A84C6E">
              <w:rPr>
                <w:rFonts w:eastAsia="Times New Roman" w:cstheme="minorHAnsi"/>
                <w:sz w:val="16"/>
                <w:szCs w:val="16"/>
                <w:lang w:eastAsia="sk-SK"/>
              </w:rPr>
              <w:t>prednáška, seminár;</w:t>
            </w:r>
          </w:p>
          <w:p w14:paraId="3B02F96A" w14:textId="77777777" w:rsidR="00F1570E" w:rsidRPr="00A84C6E" w:rsidRDefault="00464FCC" w:rsidP="00F1570E">
            <w:pPr>
              <w:spacing w:after="160" w:line="259" w:lineRule="auto"/>
              <w:ind w:left="107"/>
              <w:rPr>
                <w:rFonts w:cstheme="minorHAnsi"/>
                <w:sz w:val="16"/>
                <w:szCs w:val="16"/>
                <w:lang w:eastAsia="sk-SK"/>
              </w:rPr>
            </w:pPr>
            <w:r w:rsidRPr="00A84C6E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A84C6E">
              <w:rPr>
                <w:rFonts w:cstheme="minorHAnsi"/>
                <w:sz w:val="16"/>
                <w:szCs w:val="16"/>
              </w:rPr>
              <w:t xml:space="preserve"> 3 hod. / týždeň (2 hod. prednáška, 1 hod. seminár)</w:t>
            </w:r>
          </w:p>
          <w:p w14:paraId="36A6FA16" w14:textId="200DC603" w:rsidR="00620ABB" w:rsidRPr="00A84C6E" w:rsidRDefault="00464FCC" w:rsidP="00F1570E">
            <w:pPr>
              <w:spacing w:after="160" w:line="259" w:lineRule="auto"/>
              <w:ind w:left="107"/>
              <w:rPr>
                <w:rFonts w:cstheme="minorHAnsi"/>
                <w:sz w:val="16"/>
                <w:szCs w:val="16"/>
                <w:lang w:eastAsia="sk-SK"/>
              </w:rPr>
            </w:pPr>
            <w:r w:rsidRPr="00A84C6E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A84C6E">
              <w:rPr>
                <w:rFonts w:eastAsia="Times New Roman" w:cstheme="minorHAnsi"/>
                <w:sz w:val="16"/>
                <w:szCs w:val="16"/>
                <w:lang w:eastAsia="sk-SK"/>
              </w:rPr>
              <w:t>prezenčná, dištančná (Webex</w:t>
            </w:r>
            <w:r w:rsidR="00814178">
              <w:rPr>
                <w:rFonts w:eastAsia="Times New Roman" w:cstheme="minorHAnsi"/>
                <w:sz w:val="16"/>
                <w:szCs w:val="16"/>
                <w:lang w:eastAsia="sk-SK"/>
              </w:rPr>
              <w:t>, Elix</w:t>
            </w:r>
            <w:r w:rsidRPr="00A84C6E"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), kombinovaná; </w:t>
            </w:r>
            <w:r w:rsidR="00620ABB" w:rsidRPr="00A84C6E">
              <w:rPr>
                <w:rFonts w:cstheme="minorHAnsi"/>
                <w:sz w:val="16"/>
                <w:szCs w:val="16"/>
              </w:rPr>
              <w:t>prezenčná forma (36h); príprava prezentácie a štúdium relevantnej literatúry (10h), konzultácia s pedagógom (1h), samoštúdium (78h); spolu 125h.</w:t>
            </w:r>
          </w:p>
        </w:tc>
      </w:tr>
      <w:tr w:rsidR="00620ABB" w:rsidRPr="0064177F" w14:paraId="59CB759E" w14:textId="77777777" w:rsidTr="00C86A69">
        <w:trPr>
          <w:trHeight w:val="396"/>
        </w:trPr>
        <w:tc>
          <w:tcPr>
            <w:tcW w:w="9350" w:type="dxa"/>
            <w:gridSpan w:val="2"/>
          </w:tcPr>
          <w:p w14:paraId="08CA73DC" w14:textId="77777777" w:rsidR="00620ABB" w:rsidRPr="00A84C6E" w:rsidRDefault="00620ABB" w:rsidP="00C86A69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A84C6E">
              <w:rPr>
                <w:rFonts w:eastAsia="Calibri" w:cstheme="minorHAnsi"/>
                <w:b/>
                <w:sz w:val="16"/>
                <w:szCs w:val="16"/>
              </w:rPr>
              <w:t>Počet</w:t>
            </w:r>
            <w:r w:rsidRPr="00A84C6E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b/>
                <w:sz w:val="16"/>
                <w:szCs w:val="16"/>
              </w:rPr>
              <w:t>kreditov:</w:t>
            </w:r>
            <w:r w:rsidRPr="00A84C6E">
              <w:rPr>
                <w:rFonts w:eastAsia="Calibri" w:cstheme="minorHAnsi"/>
                <w:sz w:val="16"/>
                <w:szCs w:val="16"/>
              </w:rPr>
              <w:t xml:space="preserve"> 5</w:t>
            </w:r>
          </w:p>
        </w:tc>
      </w:tr>
      <w:tr w:rsidR="00620ABB" w:rsidRPr="0064177F" w14:paraId="67F47642" w14:textId="77777777" w:rsidTr="00C86A69">
        <w:trPr>
          <w:trHeight w:val="397"/>
        </w:trPr>
        <w:tc>
          <w:tcPr>
            <w:tcW w:w="9350" w:type="dxa"/>
            <w:gridSpan w:val="2"/>
          </w:tcPr>
          <w:p w14:paraId="6D6C1F2A" w14:textId="77777777" w:rsidR="00620ABB" w:rsidRPr="00A84C6E" w:rsidRDefault="00620ABB" w:rsidP="00C86A69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A84C6E">
              <w:rPr>
                <w:rFonts w:eastAsia="Calibri" w:cstheme="minorHAnsi"/>
                <w:b/>
                <w:sz w:val="16"/>
                <w:szCs w:val="16"/>
              </w:rPr>
              <w:t>Odporúčaný</w:t>
            </w:r>
            <w:r w:rsidRPr="00A84C6E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b/>
                <w:sz w:val="16"/>
                <w:szCs w:val="16"/>
              </w:rPr>
              <w:t>semester/trimester</w:t>
            </w:r>
            <w:r w:rsidRPr="00A84C6E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b/>
                <w:sz w:val="16"/>
                <w:szCs w:val="16"/>
              </w:rPr>
              <w:t>štúdia:</w:t>
            </w:r>
            <w:r w:rsidRPr="00A84C6E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 </w:t>
            </w:r>
            <w:r w:rsidRPr="00A84C6E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4. </w:t>
            </w:r>
            <w:r w:rsidRPr="00A84C6E">
              <w:rPr>
                <w:rFonts w:eastAsia="Calibri" w:cstheme="minorHAnsi"/>
                <w:sz w:val="16"/>
                <w:szCs w:val="16"/>
              </w:rPr>
              <w:t>semester</w:t>
            </w:r>
          </w:p>
        </w:tc>
      </w:tr>
      <w:tr w:rsidR="00620ABB" w:rsidRPr="0064177F" w14:paraId="7737EAD6" w14:textId="77777777" w:rsidTr="00C86A69">
        <w:trPr>
          <w:trHeight w:val="398"/>
        </w:trPr>
        <w:tc>
          <w:tcPr>
            <w:tcW w:w="9350" w:type="dxa"/>
            <w:gridSpan w:val="2"/>
          </w:tcPr>
          <w:p w14:paraId="2869A050" w14:textId="77777777" w:rsidR="00620ABB" w:rsidRPr="00A84C6E" w:rsidRDefault="00620ABB" w:rsidP="00C86A69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A84C6E">
              <w:rPr>
                <w:rFonts w:eastAsia="Calibri" w:cstheme="minorHAnsi"/>
                <w:b/>
                <w:sz w:val="16"/>
                <w:szCs w:val="16"/>
              </w:rPr>
              <w:t>Stupeň</w:t>
            </w:r>
            <w:r w:rsidRPr="00A84C6E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b/>
                <w:sz w:val="16"/>
                <w:szCs w:val="16"/>
              </w:rPr>
              <w:t xml:space="preserve">štúdia: </w:t>
            </w:r>
            <w:r w:rsidRPr="00A84C6E">
              <w:rPr>
                <w:rFonts w:eastAsia="Calibri" w:cstheme="minorHAnsi"/>
                <w:sz w:val="16"/>
                <w:szCs w:val="16"/>
              </w:rPr>
              <w:t>1.</w:t>
            </w:r>
            <w:r w:rsidRPr="00A84C6E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sz w:val="16"/>
                <w:szCs w:val="16"/>
              </w:rPr>
              <w:t>stupeň</w:t>
            </w:r>
            <w:r w:rsidRPr="00A84C6E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sz w:val="16"/>
                <w:szCs w:val="16"/>
              </w:rPr>
              <w:t>(bakalársky)</w:t>
            </w:r>
          </w:p>
        </w:tc>
      </w:tr>
      <w:tr w:rsidR="00620ABB" w:rsidRPr="0064177F" w14:paraId="211E5AED" w14:textId="77777777" w:rsidTr="00C86A69">
        <w:trPr>
          <w:trHeight w:val="395"/>
        </w:trPr>
        <w:tc>
          <w:tcPr>
            <w:tcW w:w="9350" w:type="dxa"/>
            <w:gridSpan w:val="2"/>
          </w:tcPr>
          <w:p w14:paraId="3739026A" w14:textId="77777777" w:rsidR="00620ABB" w:rsidRPr="00A84C6E" w:rsidRDefault="00620ABB" w:rsidP="00C86A69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A84C6E">
              <w:rPr>
                <w:rFonts w:eastAsia="Calibri" w:cstheme="minorHAnsi"/>
                <w:b/>
                <w:sz w:val="16"/>
                <w:szCs w:val="16"/>
              </w:rPr>
              <w:t>Podmieňujúce</w:t>
            </w:r>
            <w:r w:rsidRPr="00A84C6E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b/>
                <w:sz w:val="16"/>
                <w:szCs w:val="16"/>
              </w:rPr>
              <w:t>predmety</w:t>
            </w:r>
            <w:r w:rsidRPr="00A84C6E">
              <w:rPr>
                <w:rFonts w:eastAsia="Calibri" w:cstheme="minorHAnsi"/>
                <w:bCs/>
                <w:sz w:val="16"/>
                <w:szCs w:val="16"/>
              </w:rPr>
              <w:t>:</w:t>
            </w:r>
            <w:r w:rsidRPr="00A84C6E">
              <w:rPr>
                <w:rFonts w:eastAsia="Calibri" w:cstheme="minorHAnsi"/>
                <w:bCs/>
                <w:spacing w:val="-2"/>
                <w:sz w:val="16"/>
                <w:szCs w:val="16"/>
              </w:rPr>
              <w:t xml:space="preserve">  Všeobecná psychológia 1 a 2, Vývin. psychológia 1 a 2, Psychológia osobnosti 1 a 2, Psychologická diagnostika;</w:t>
            </w:r>
          </w:p>
        </w:tc>
      </w:tr>
      <w:tr w:rsidR="00620ABB" w:rsidRPr="008C70A0" w14:paraId="18872E69" w14:textId="77777777" w:rsidTr="00C86A69">
        <w:trPr>
          <w:trHeight w:val="1170"/>
        </w:trPr>
        <w:tc>
          <w:tcPr>
            <w:tcW w:w="9350" w:type="dxa"/>
            <w:gridSpan w:val="2"/>
          </w:tcPr>
          <w:p w14:paraId="2492F557" w14:textId="77777777" w:rsidR="00620ABB" w:rsidRPr="00A84C6E" w:rsidRDefault="00620ABB" w:rsidP="00C86A69">
            <w:p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A84C6E">
              <w:rPr>
                <w:rFonts w:eastAsia="Times New Roman" w:cstheme="minorHAnsi"/>
                <w:b/>
                <w:sz w:val="16"/>
                <w:szCs w:val="16"/>
              </w:rPr>
              <w:t>Podmienky na absolvovanie predmetu:</w:t>
            </w:r>
            <w:r w:rsidRPr="00A84C6E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14:paraId="34DAC9C5" w14:textId="77777777" w:rsidR="00620ABB" w:rsidRPr="00A84C6E" w:rsidRDefault="00620ABB" w:rsidP="00C86A69">
            <w:pPr>
              <w:rPr>
                <w:rFonts w:eastAsia="Times New Roman" w:cstheme="minorHAnsi"/>
                <w:sz w:val="16"/>
                <w:szCs w:val="16"/>
              </w:rPr>
            </w:pPr>
            <w:r w:rsidRPr="00A84C6E">
              <w:rPr>
                <w:rFonts w:eastAsia="Times New Roman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487B6920" w14:textId="77777777" w:rsidR="00620ABB" w:rsidRPr="00A84C6E" w:rsidRDefault="00620ABB" w:rsidP="00C86A69">
            <w:pPr>
              <w:rPr>
                <w:rFonts w:eastAsia="Times New Roman" w:cstheme="minorHAnsi"/>
                <w:sz w:val="16"/>
                <w:szCs w:val="16"/>
              </w:rPr>
            </w:pPr>
            <w:r w:rsidRPr="00A84C6E">
              <w:rPr>
                <w:rFonts w:eastAsia="Times New Roman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417CD34E" w14:textId="77777777" w:rsidR="00620ABB" w:rsidRPr="00A84C6E" w:rsidRDefault="00620ABB" w:rsidP="00C86A69">
            <w:pPr>
              <w:rPr>
                <w:rFonts w:eastAsia="Times New Roman" w:cstheme="minorHAnsi"/>
                <w:sz w:val="16"/>
                <w:szCs w:val="16"/>
              </w:rPr>
            </w:pPr>
            <w:r w:rsidRPr="00A84C6E">
              <w:rPr>
                <w:rFonts w:eastAsia="Times New Roman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  <w:p w14:paraId="6CC339A4" w14:textId="77777777" w:rsidR="00620ABB" w:rsidRPr="00A84C6E" w:rsidRDefault="00620ABB" w:rsidP="00C86A69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620ABB" w:rsidRPr="0064177F" w14:paraId="6647BBA8" w14:textId="77777777" w:rsidTr="00C86A69">
        <w:trPr>
          <w:trHeight w:val="871"/>
        </w:trPr>
        <w:tc>
          <w:tcPr>
            <w:tcW w:w="9350" w:type="dxa"/>
            <w:gridSpan w:val="2"/>
          </w:tcPr>
          <w:p w14:paraId="150C1FEE" w14:textId="77777777" w:rsidR="00620ABB" w:rsidRPr="00A84C6E" w:rsidRDefault="00620ABB" w:rsidP="00C86A69">
            <w:pPr>
              <w:spacing w:after="160" w:line="259" w:lineRule="auto"/>
              <w:ind w:left="107" w:right="96"/>
              <w:rPr>
                <w:rFonts w:eastAsia="Calibri" w:cstheme="minorHAnsi"/>
                <w:sz w:val="16"/>
                <w:szCs w:val="16"/>
              </w:rPr>
            </w:pPr>
            <w:r w:rsidRPr="00A84C6E">
              <w:rPr>
                <w:rFonts w:eastAsia="Calibri" w:cstheme="minorHAnsi"/>
                <w:b/>
                <w:sz w:val="16"/>
                <w:szCs w:val="16"/>
              </w:rPr>
              <w:t xml:space="preserve">Výsledky vzdelávania: </w:t>
            </w:r>
          </w:p>
          <w:tbl>
            <w:tblPr>
              <w:tblStyle w:val="Mriekatabuky3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669"/>
              <w:gridCol w:w="4819"/>
              <w:gridCol w:w="1418"/>
              <w:gridCol w:w="2065"/>
            </w:tblGrid>
            <w:tr w:rsidR="00620ABB" w:rsidRPr="00A84C6E" w14:paraId="37F1B051" w14:textId="77777777" w:rsidTr="00C86A69">
              <w:tc>
                <w:tcPr>
                  <w:tcW w:w="669" w:type="dxa"/>
                </w:tcPr>
                <w:p w14:paraId="0D31A044" w14:textId="77777777" w:rsidR="00620ABB" w:rsidRPr="00A84C6E" w:rsidRDefault="00620ABB" w:rsidP="00C86A69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</w:tcPr>
                <w:p w14:paraId="43DE0A06" w14:textId="77777777" w:rsidR="00620ABB" w:rsidRPr="00A84C6E" w:rsidRDefault="00620ABB" w:rsidP="00C86A69">
                  <w:pPr>
                    <w:spacing w:after="160" w:line="259" w:lineRule="auto"/>
                    <w:jc w:val="both"/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Deskriptory VV</w:t>
                  </w:r>
                </w:p>
              </w:tc>
              <w:tc>
                <w:tcPr>
                  <w:tcW w:w="1418" w:type="dxa"/>
                </w:tcPr>
                <w:p w14:paraId="3833604C" w14:textId="77777777" w:rsidR="00620ABB" w:rsidRPr="00A84C6E" w:rsidRDefault="00620ABB" w:rsidP="00C86A69">
                  <w:pPr>
                    <w:spacing w:after="160" w:line="259" w:lineRule="auto"/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Forma vzdelávania</w:t>
                  </w:r>
                </w:p>
              </w:tc>
              <w:tc>
                <w:tcPr>
                  <w:tcW w:w="2065" w:type="dxa"/>
                </w:tcPr>
                <w:p w14:paraId="26020E77" w14:textId="77777777" w:rsidR="00620ABB" w:rsidRPr="00A84C6E" w:rsidRDefault="00620ABB" w:rsidP="00C86A69">
                  <w:pPr>
                    <w:spacing w:after="160" w:line="259" w:lineRule="auto"/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Metóda hodnotenia/overenia VV</w:t>
                  </w:r>
                </w:p>
              </w:tc>
            </w:tr>
            <w:tr w:rsidR="00620ABB" w:rsidRPr="00A84C6E" w14:paraId="627E3995" w14:textId="77777777" w:rsidTr="00C86A69">
              <w:tc>
                <w:tcPr>
                  <w:tcW w:w="669" w:type="dxa"/>
                </w:tcPr>
                <w:p w14:paraId="4E05D909" w14:textId="77777777" w:rsidR="00620ABB" w:rsidRPr="00A84C6E" w:rsidRDefault="00620ABB" w:rsidP="00C86A69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819" w:type="dxa"/>
                </w:tcPr>
                <w:p w14:paraId="5163FE4B" w14:textId="77777777" w:rsidR="00620ABB" w:rsidRPr="00A84C6E" w:rsidRDefault="00620ABB" w:rsidP="00C86A69">
                  <w:pPr>
                    <w:spacing w:after="160" w:line="259" w:lineRule="auto"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Študent si pamätá a dokáže reprodukovať jednotlivé základné pojmy a definície  edukačnej psychológie, dokáže opísať osobnostné a kvalifikačné predpoklady pre výkon psychológie v oblasti edukačnej psychológie.</w:t>
                  </w:r>
                </w:p>
              </w:tc>
              <w:tc>
                <w:tcPr>
                  <w:tcW w:w="1418" w:type="dxa"/>
                </w:tcPr>
                <w:p w14:paraId="041F5CCA" w14:textId="77777777" w:rsidR="00620ABB" w:rsidRPr="00A84C6E" w:rsidRDefault="00620ABB" w:rsidP="00C86A6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Hromadná prednáška + samoštúdium</w:t>
                  </w:r>
                </w:p>
              </w:tc>
              <w:tc>
                <w:tcPr>
                  <w:tcW w:w="2065" w:type="dxa"/>
                </w:tcPr>
                <w:p w14:paraId="4237672E" w14:textId="77777777" w:rsidR="00620ABB" w:rsidRPr="00A84C6E" w:rsidRDefault="00620ABB" w:rsidP="00C86A6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Test (max. 30 bodov) % úspešnosti 61 % - 18 bodov</w:t>
                  </w:r>
                </w:p>
              </w:tc>
            </w:tr>
            <w:tr w:rsidR="00620ABB" w:rsidRPr="00A84C6E" w14:paraId="42FDE698" w14:textId="77777777" w:rsidTr="00C86A69">
              <w:tc>
                <w:tcPr>
                  <w:tcW w:w="669" w:type="dxa"/>
                </w:tcPr>
                <w:p w14:paraId="1F73FC39" w14:textId="77777777" w:rsidR="00620ABB" w:rsidRPr="00A84C6E" w:rsidRDefault="00620ABB" w:rsidP="00C86A69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819" w:type="dxa"/>
                </w:tcPr>
                <w:p w14:paraId="3F9FCA2F" w14:textId="77777777" w:rsidR="00620ABB" w:rsidRPr="00A84C6E" w:rsidRDefault="00620ABB" w:rsidP="00C86A69">
                  <w:pPr>
                    <w:spacing w:after="160" w:line="259" w:lineRule="auto"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Študent rozumie jednotlivým pojmom a základným definíciám v oblasti edukačnej psychológie,  dokáže vysvetliť náplň edukačnej psychológie v rámci profesie. Rozumie atribútom vedeckého  prístupu v edukačnej psychológii, dokáže uviesť príklady najbežnejších psychologických problémov klientov  z hľadiska edukačnej psychológie.</w:t>
                  </w:r>
                </w:p>
              </w:tc>
              <w:tc>
                <w:tcPr>
                  <w:tcW w:w="1418" w:type="dxa"/>
                </w:tcPr>
                <w:p w14:paraId="701C3EBE" w14:textId="77777777" w:rsidR="00620ABB" w:rsidRPr="00A84C6E" w:rsidRDefault="00620ABB" w:rsidP="00C86A6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Hromadná  prednáška + samoštúdium</w:t>
                  </w:r>
                </w:p>
              </w:tc>
              <w:tc>
                <w:tcPr>
                  <w:tcW w:w="2065" w:type="dxa"/>
                </w:tcPr>
                <w:p w14:paraId="069FFEC8" w14:textId="77777777" w:rsidR="00620ABB" w:rsidRPr="00A84C6E" w:rsidRDefault="00620ABB" w:rsidP="00C86A6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Test (max. 20 bodov) % úspešnosti 61 % - 12 bodov</w:t>
                  </w:r>
                </w:p>
              </w:tc>
            </w:tr>
            <w:tr w:rsidR="00620ABB" w:rsidRPr="00A84C6E" w14:paraId="07DDD6E5" w14:textId="77777777" w:rsidTr="00C86A69">
              <w:tc>
                <w:tcPr>
                  <w:tcW w:w="669" w:type="dxa"/>
                </w:tcPr>
                <w:p w14:paraId="218427F1" w14:textId="77777777" w:rsidR="00620ABB" w:rsidRPr="00A84C6E" w:rsidRDefault="00620ABB" w:rsidP="00C86A69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819" w:type="dxa"/>
                </w:tcPr>
                <w:p w14:paraId="65FD1068" w14:textId="77777777" w:rsidR="00620ABB" w:rsidRPr="00A84C6E" w:rsidRDefault="00620ABB" w:rsidP="00C86A69">
                  <w:pPr>
                    <w:spacing w:after="160" w:line="259" w:lineRule="auto"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 xml:space="preserve">Študent dokáže rozlíšiť, popisuje a interpretuje jednotlivé  základné prístupy edukačnej psychológie k problémom a typom klientov. </w:t>
                  </w:r>
                </w:p>
              </w:tc>
              <w:tc>
                <w:tcPr>
                  <w:tcW w:w="1418" w:type="dxa"/>
                </w:tcPr>
                <w:p w14:paraId="386B470A" w14:textId="77777777" w:rsidR="00620ABB" w:rsidRPr="00A84C6E" w:rsidRDefault="00620ABB" w:rsidP="00C86A6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prednáška + samoštúdium+ samostatná písomná práca</w:t>
                  </w:r>
                </w:p>
              </w:tc>
              <w:tc>
                <w:tcPr>
                  <w:tcW w:w="2065" w:type="dxa"/>
                </w:tcPr>
                <w:p w14:paraId="06911BA2" w14:textId="77777777" w:rsidR="00620ABB" w:rsidRPr="00A84C6E" w:rsidRDefault="00620ABB" w:rsidP="00C86A6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Hodnotenie samostatnej písomnej práce zameranej na porozumenie a interpretáciu prístupov v  oblasti edukačnej psychológie k jednotlivým typom hodnotených klientov, ( max. 30 bodov ) % úspešnosti 61 % =18 bodov</w:t>
                  </w:r>
                </w:p>
              </w:tc>
            </w:tr>
            <w:tr w:rsidR="00620ABB" w:rsidRPr="00A84C6E" w14:paraId="325FCD68" w14:textId="77777777" w:rsidTr="00C86A69">
              <w:trPr>
                <w:trHeight w:val="1260"/>
              </w:trPr>
              <w:tc>
                <w:tcPr>
                  <w:tcW w:w="669" w:type="dxa"/>
                </w:tcPr>
                <w:p w14:paraId="6489B5C7" w14:textId="77777777" w:rsidR="00620ABB" w:rsidRPr="00A84C6E" w:rsidRDefault="00620ABB" w:rsidP="00C86A69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VV4</w:t>
                  </w:r>
                </w:p>
              </w:tc>
              <w:tc>
                <w:tcPr>
                  <w:tcW w:w="4819" w:type="dxa"/>
                </w:tcPr>
                <w:p w14:paraId="120F820A" w14:textId="77777777" w:rsidR="00620ABB" w:rsidRPr="00A84C6E" w:rsidRDefault="00620ABB" w:rsidP="00C86A6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 xml:space="preserve">Študent aplikuje poznatky  o najbežnejších prístupoch v oblasti  edukačnej psychológie, dokáže posúdiť a názorne ukázať využitie rôznych prístupov z hľadiska edukačnej psychológie pri  riešení problémov najbežnejších typov klientov v súčasnosti. </w:t>
                  </w:r>
                </w:p>
                <w:p w14:paraId="77FC7EF0" w14:textId="77777777" w:rsidR="00620ABB" w:rsidRPr="00A84C6E" w:rsidRDefault="00620ABB" w:rsidP="00C86A6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2C9EBE11" w14:textId="77777777" w:rsidR="00620ABB" w:rsidRPr="00A84C6E" w:rsidRDefault="00620ABB" w:rsidP="00C86A6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 xml:space="preserve">Prednáška, + Samoštúdium, + samostatná písomná práca – z oblasti edukačnej psychológie </w:t>
                  </w:r>
                </w:p>
              </w:tc>
              <w:tc>
                <w:tcPr>
                  <w:tcW w:w="2065" w:type="dxa"/>
                </w:tcPr>
                <w:p w14:paraId="60EE55D6" w14:textId="77777777" w:rsidR="00620ABB" w:rsidRPr="00A84C6E" w:rsidRDefault="00620ABB" w:rsidP="00C86A6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84C6E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Hodnotenie individuálneho prípadu, max 20 bodov, %  úspešnosti 61 % = 12 bodov</w:t>
                  </w:r>
                </w:p>
              </w:tc>
            </w:tr>
          </w:tbl>
          <w:p w14:paraId="2057E061" w14:textId="77777777" w:rsidR="00620ABB" w:rsidRPr="00A84C6E" w:rsidRDefault="00620ABB" w:rsidP="00C86A69">
            <w:pPr>
              <w:spacing w:after="160" w:line="259" w:lineRule="auto"/>
              <w:ind w:left="107" w:right="96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620ABB" w:rsidRPr="0064177F" w14:paraId="5EF00A3D" w14:textId="77777777" w:rsidTr="00C86A69">
        <w:trPr>
          <w:trHeight w:val="3081"/>
        </w:trPr>
        <w:tc>
          <w:tcPr>
            <w:tcW w:w="9350" w:type="dxa"/>
            <w:gridSpan w:val="2"/>
          </w:tcPr>
          <w:p w14:paraId="68F714BD" w14:textId="77777777" w:rsidR="00620ABB" w:rsidRPr="00A84C6E" w:rsidRDefault="00620ABB" w:rsidP="00C86A69">
            <w:pPr>
              <w:tabs>
                <w:tab w:val="left" w:pos="463"/>
              </w:tabs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A84C6E">
              <w:rPr>
                <w:rFonts w:cstheme="minorHAnsi"/>
                <w:b/>
                <w:sz w:val="16"/>
                <w:szCs w:val="16"/>
              </w:rPr>
              <w:lastRenderedPageBreak/>
              <w:t>Stručná osnova predmetu:</w:t>
            </w:r>
          </w:p>
          <w:p w14:paraId="69E38866" w14:textId="77777777" w:rsidR="00620ABB" w:rsidRPr="00A84C6E" w:rsidRDefault="00620ABB" w:rsidP="00C86A69">
            <w:pPr>
              <w:widowControl w:val="0"/>
              <w:numPr>
                <w:ilvl w:val="0"/>
                <w:numId w:val="9"/>
              </w:numPr>
              <w:tabs>
                <w:tab w:val="left" w:pos="164"/>
              </w:tabs>
              <w:autoSpaceDE w:val="0"/>
              <w:autoSpaceDN w:val="0"/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A84C6E">
              <w:rPr>
                <w:rFonts w:cstheme="minorHAnsi"/>
                <w:sz w:val="16"/>
                <w:szCs w:val="16"/>
              </w:rPr>
              <w:t xml:space="preserve">Edukačná psychológia, definície, predmet skúmania, metódy skúmania, edukačná psychológia, vers. iné vedy. Uplatnenie edukačného psychológa v praxi. </w:t>
            </w:r>
          </w:p>
          <w:p w14:paraId="58F4A6EA" w14:textId="77777777" w:rsidR="00620ABB" w:rsidRPr="00A84C6E" w:rsidRDefault="00620ABB" w:rsidP="00C86A69">
            <w:pPr>
              <w:widowControl w:val="0"/>
              <w:numPr>
                <w:ilvl w:val="0"/>
                <w:numId w:val="9"/>
              </w:numPr>
              <w:tabs>
                <w:tab w:val="left" w:pos="164"/>
              </w:tabs>
              <w:autoSpaceDE w:val="0"/>
              <w:autoSpaceDN w:val="0"/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A84C6E">
              <w:rPr>
                <w:rFonts w:cstheme="minorHAnsi"/>
                <w:sz w:val="16"/>
                <w:szCs w:val="16"/>
              </w:rPr>
              <w:t>Výchova, vzdelávanie, ich vzájomné vzťahy. Starší a novší pohľad na edukáciu, interakčné teórie výchovy. Etické otázky.</w:t>
            </w:r>
          </w:p>
          <w:p w14:paraId="3CB4547F" w14:textId="77777777" w:rsidR="00620ABB" w:rsidRPr="00A84C6E" w:rsidRDefault="00620ABB" w:rsidP="00C86A69">
            <w:pPr>
              <w:numPr>
                <w:ilvl w:val="0"/>
                <w:numId w:val="9"/>
              </w:numPr>
              <w:tabs>
                <w:tab w:val="left" w:pos="164"/>
              </w:tabs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A84C6E">
              <w:rPr>
                <w:rFonts w:cstheme="minorHAnsi"/>
                <w:sz w:val="16"/>
                <w:szCs w:val="16"/>
              </w:rPr>
              <w:t xml:space="preserve">Psychologické faktory edukácie. Faktory ovplyvňujúce proces edukácie (Bronfenbrennerova ekologická teória, štýly výchovy, vnútorné faktory). Problém redukcionizmu v edukácii. </w:t>
            </w:r>
          </w:p>
          <w:p w14:paraId="6D1A5EC8" w14:textId="77777777" w:rsidR="00620ABB" w:rsidRPr="00A84C6E" w:rsidRDefault="00620ABB" w:rsidP="00C86A69">
            <w:pPr>
              <w:numPr>
                <w:ilvl w:val="0"/>
                <w:numId w:val="9"/>
              </w:numPr>
              <w:tabs>
                <w:tab w:val="left" w:pos="164"/>
              </w:tabs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A84C6E">
              <w:rPr>
                <w:rFonts w:cstheme="minorHAnsi"/>
                <w:sz w:val="16"/>
                <w:szCs w:val="16"/>
              </w:rPr>
              <w:t>Behavioristický prístup v edukácii. Klasické a operačné podmieňovanie v praxi edukačnej psychológie. Postupy modifikácie  správania, alternatívy k odmeňovaniu a trestaniu.  Plusy a mínusy.</w:t>
            </w:r>
          </w:p>
          <w:p w14:paraId="27B305E9" w14:textId="77777777" w:rsidR="00620ABB" w:rsidRPr="00A84C6E" w:rsidRDefault="00620ABB" w:rsidP="00C86A69">
            <w:pPr>
              <w:numPr>
                <w:ilvl w:val="0"/>
                <w:numId w:val="9"/>
              </w:numPr>
              <w:tabs>
                <w:tab w:val="left" w:pos="164"/>
              </w:tabs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A84C6E">
              <w:rPr>
                <w:rFonts w:cstheme="minorHAnsi"/>
                <w:sz w:val="16"/>
                <w:szCs w:val="16"/>
              </w:rPr>
              <w:t>Teórie sociálneho učenia v edukácii. Učenie pozorovaním, seba účinnosť,  miesto kontroly (prínos Banduru, Wienera,  Rottera).</w:t>
            </w:r>
          </w:p>
          <w:p w14:paraId="19F67AD0" w14:textId="77777777" w:rsidR="00620ABB" w:rsidRPr="00A84C6E" w:rsidRDefault="00620ABB" w:rsidP="00C86A69">
            <w:pPr>
              <w:numPr>
                <w:ilvl w:val="0"/>
                <w:numId w:val="9"/>
              </w:numPr>
              <w:tabs>
                <w:tab w:val="left" w:pos="164"/>
              </w:tabs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A84C6E">
              <w:rPr>
                <w:rFonts w:cstheme="minorHAnsi"/>
                <w:sz w:val="16"/>
                <w:szCs w:val="16"/>
              </w:rPr>
              <w:t xml:space="preserve">Edukácia z perspektívy kognitívnej psychológie. Individuálny a sociálny konštruktivizmus (Piaget, Vygotsky), rozvoj kognitívnych zručností (Bloom). Kognitívny prístup v edukačnej praxi. </w:t>
            </w:r>
          </w:p>
          <w:p w14:paraId="1FD235C3" w14:textId="77777777" w:rsidR="00620ABB" w:rsidRPr="00A84C6E" w:rsidRDefault="00620ABB" w:rsidP="00C86A69">
            <w:pPr>
              <w:numPr>
                <w:ilvl w:val="0"/>
                <w:numId w:val="9"/>
              </w:numPr>
              <w:tabs>
                <w:tab w:val="left" w:pos="164"/>
              </w:tabs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A84C6E">
              <w:rPr>
                <w:rFonts w:cstheme="minorHAnsi"/>
                <w:sz w:val="16"/>
                <w:szCs w:val="16"/>
              </w:rPr>
              <w:t>Hlbinná psychológia v edukácii. Vplyv Z. Freuda, Adlera,  Bowlbyho, Eriksona. Kritika edukácie a prínos zo strany hlbinnej psychológie.</w:t>
            </w:r>
          </w:p>
          <w:p w14:paraId="5E653628" w14:textId="77777777" w:rsidR="00620ABB" w:rsidRPr="00A84C6E" w:rsidRDefault="00620ABB" w:rsidP="00C86A69">
            <w:pPr>
              <w:numPr>
                <w:ilvl w:val="0"/>
                <w:numId w:val="9"/>
              </w:numPr>
              <w:tabs>
                <w:tab w:val="left" w:pos="164"/>
              </w:tabs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A84C6E">
              <w:rPr>
                <w:rFonts w:cstheme="minorHAnsi"/>
                <w:sz w:val="16"/>
                <w:szCs w:val="16"/>
              </w:rPr>
              <w:t>Existenciálna a humanistická psychológia v edukácii. Vplyv Maslowa, Rogersa, Frankla. Humanistická psychológia v edukačnej praxi, typické metódy, alternatívne školy. Prínos a riziká.</w:t>
            </w:r>
          </w:p>
          <w:p w14:paraId="6BDB7ED6" w14:textId="77777777" w:rsidR="00620ABB" w:rsidRPr="00A84C6E" w:rsidRDefault="00620ABB" w:rsidP="00C86A69">
            <w:pPr>
              <w:numPr>
                <w:ilvl w:val="0"/>
                <w:numId w:val="9"/>
              </w:numPr>
              <w:tabs>
                <w:tab w:val="left" w:pos="164"/>
              </w:tabs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A84C6E">
              <w:rPr>
                <w:rFonts w:cstheme="minorHAnsi"/>
                <w:sz w:val="16"/>
                <w:szCs w:val="16"/>
              </w:rPr>
              <w:t xml:space="preserve">Pozitívna psychológia v edukácii. Prínos Seligmana, </w:t>
            </w:r>
            <w:r w:rsidRPr="00A84C6E">
              <w:rPr>
                <w:rFonts w:cstheme="minorHAnsi"/>
                <w:bCs/>
                <w:sz w:val="16"/>
                <w:szCs w:val="16"/>
              </w:rPr>
              <w:t>Csikszentmihalyiho (kvalita života, nová prosperita, rozvoj zručností, cností), charakteristiky edukačných programov aplikujúcich pozitívnu psychológiu. Úskalia „pozitívneho myslenia“.</w:t>
            </w:r>
          </w:p>
          <w:p w14:paraId="5E9DBD91" w14:textId="77777777" w:rsidR="00620ABB" w:rsidRPr="00A84C6E" w:rsidRDefault="00620ABB" w:rsidP="00C86A69">
            <w:pPr>
              <w:numPr>
                <w:ilvl w:val="0"/>
                <w:numId w:val="9"/>
              </w:numPr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A84C6E">
              <w:rPr>
                <w:rFonts w:cstheme="minorHAnsi"/>
                <w:sz w:val="16"/>
                <w:szCs w:val="16"/>
              </w:rPr>
              <w:t>Aktuálne problémy v edukácii zo psychologickej perspektívy.</w:t>
            </w:r>
          </w:p>
          <w:p w14:paraId="647E5E2E" w14:textId="77777777" w:rsidR="00620ABB" w:rsidRPr="00A84C6E" w:rsidRDefault="00620ABB" w:rsidP="00C86A69">
            <w:pPr>
              <w:spacing w:after="160" w:line="259" w:lineRule="auto"/>
              <w:ind w:left="720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620ABB" w:rsidRPr="0064177F" w14:paraId="78EDD4C6" w14:textId="77777777" w:rsidTr="00C86A69">
        <w:trPr>
          <w:trHeight w:val="1666"/>
        </w:trPr>
        <w:tc>
          <w:tcPr>
            <w:tcW w:w="9350" w:type="dxa"/>
            <w:gridSpan w:val="2"/>
          </w:tcPr>
          <w:p w14:paraId="39C5A5D8" w14:textId="77777777" w:rsidR="00620ABB" w:rsidRPr="00A84C6E" w:rsidRDefault="00620ABB" w:rsidP="00C86A69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A84C6E">
              <w:rPr>
                <w:rFonts w:eastAsia="Calibri" w:cstheme="minorHAnsi"/>
                <w:b/>
                <w:sz w:val="16"/>
                <w:szCs w:val="16"/>
              </w:rPr>
              <w:t>Odporúčaná</w:t>
            </w:r>
            <w:r w:rsidRPr="00A84C6E">
              <w:rPr>
                <w:rFonts w:eastAsia="Calibr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A84C6E">
              <w:rPr>
                <w:rFonts w:eastAsia="Calibri" w:cstheme="minorHAnsi"/>
                <w:b/>
                <w:sz w:val="16"/>
                <w:szCs w:val="16"/>
              </w:rPr>
              <w:t>literatúra:</w:t>
            </w:r>
          </w:p>
          <w:p w14:paraId="6E782795" w14:textId="77777777" w:rsidR="00620ABB" w:rsidRPr="00A84C6E" w:rsidRDefault="00620ABB" w:rsidP="00C86A69">
            <w:pPr>
              <w:autoSpaceDE w:val="0"/>
              <w:autoSpaceDN w:val="0"/>
              <w:adjustRightInd w:val="0"/>
              <w:spacing w:after="160" w:line="259" w:lineRule="auto"/>
              <w:ind w:left="180"/>
              <w:rPr>
                <w:rFonts w:cstheme="minorHAnsi"/>
                <w:sz w:val="16"/>
                <w:szCs w:val="16"/>
              </w:rPr>
            </w:pPr>
            <w:r w:rsidRPr="00A84C6E">
              <w:rPr>
                <w:rFonts w:cstheme="minorHAnsi"/>
                <w:sz w:val="16"/>
                <w:szCs w:val="16"/>
              </w:rPr>
              <w:t>Gajdošová, E., 2015, Školská psychológia a školský psychológ v 21. storočí. Eurokódex.</w:t>
            </w:r>
          </w:p>
          <w:p w14:paraId="12937059" w14:textId="77777777" w:rsidR="00620ABB" w:rsidRPr="00A84C6E" w:rsidRDefault="00620ABB" w:rsidP="00C86A69">
            <w:pPr>
              <w:autoSpaceDE w:val="0"/>
              <w:autoSpaceDN w:val="0"/>
              <w:adjustRightInd w:val="0"/>
              <w:spacing w:after="160" w:line="259" w:lineRule="auto"/>
              <w:ind w:left="180"/>
              <w:rPr>
                <w:rFonts w:cstheme="minorHAnsi"/>
                <w:sz w:val="16"/>
                <w:szCs w:val="16"/>
              </w:rPr>
            </w:pPr>
            <w:r w:rsidRPr="00A84C6E">
              <w:rPr>
                <w:rFonts w:cstheme="minorHAnsi"/>
                <w:sz w:val="16"/>
                <w:szCs w:val="16"/>
              </w:rPr>
              <w:t>Mareš, J., 2013, Pedagogická psychologie. Portál.</w:t>
            </w:r>
          </w:p>
          <w:p w14:paraId="3D49CB7E" w14:textId="77777777" w:rsidR="00620ABB" w:rsidRPr="00A84C6E" w:rsidRDefault="00620ABB" w:rsidP="00C86A69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4C6E">
              <w:rPr>
                <w:rFonts w:cstheme="minorHAnsi"/>
                <w:sz w:val="16"/>
                <w:szCs w:val="16"/>
              </w:rPr>
              <w:t>Štech, S., 2013 Zapletalová, J.: Úvod do školní psychologie. Portál.</w:t>
            </w:r>
          </w:p>
          <w:p w14:paraId="53106D59" w14:textId="77777777" w:rsidR="00620ABB" w:rsidRPr="00A84C6E" w:rsidRDefault="00620ABB" w:rsidP="00C86A69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4C6E">
              <w:rPr>
                <w:rFonts w:cstheme="minorHAnsi"/>
                <w:sz w:val="16"/>
                <w:szCs w:val="16"/>
              </w:rPr>
              <w:t>Čáp, J., Mareš, J., 2007 Psychologie pro učitele. Portál.</w:t>
            </w:r>
          </w:p>
          <w:p w14:paraId="383FE199" w14:textId="77777777" w:rsidR="00620ABB" w:rsidRPr="00A84C6E" w:rsidRDefault="00620ABB" w:rsidP="00C86A69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4C6E">
              <w:rPr>
                <w:rFonts w:cstheme="minorHAnsi"/>
                <w:sz w:val="16"/>
                <w:szCs w:val="16"/>
              </w:rPr>
              <w:t>Szobiová, E., 2004, Tvorivosť, od záhady k poznaniu. Stimul.</w:t>
            </w:r>
          </w:p>
          <w:p w14:paraId="05BE8480" w14:textId="77777777" w:rsidR="00620ABB" w:rsidRPr="00A84C6E" w:rsidRDefault="00620ABB" w:rsidP="00C86A69">
            <w:pPr>
              <w:autoSpaceDE w:val="0"/>
              <w:autoSpaceDN w:val="0"/>
              <w:adjustRightInd w:val="0"/>
              <w:spacing w:after="160" w:line="259" w:lineRule="auto"/>
              <w:ind w:left="180"/>
              <w:rPr>
                <w:rFonts w:cstheme="minorHAnsi"/>
                <w:sz w:val="16"/>
                <w:szCs w:val="16"/>
              </w:rPr>
            </w:pPr>
            <w:r w:rsidRPr="00A84C6E">
              <w:rPr>
                <w:rFonts w:cstheme="minorHAnsi"/>
                <w:sz w:val="16"/>
                <w:szCs w:val="16"/>
              </w:rPr>
              <w:t xml:space="preserve">Hvozdík, S.:, 1999, 2000, Vybrané kapitoly zo školskej psychológie 1, 2., FFPU, </w:t>
            </w:r>
          </w:p>
        </w:tc>
      </w:tr>
      <w:tr w:rsidR="00620ABB" w:rsidRPr="0064177F" w14:paraId="02AA8211" w14:textId="77777777" w:rsidTr="00C86A69">
        <w:trPr>
          <w:trHeight w:val="378"/>
        </w:trPr>
        <w:tc>
          <w:tcPr>
            <w:tcW w:w="9350" w:type="dxa"/>
            <w:gridSpan w:val="2"/>
          </w:tcPr>
          <w:p w14:paraId="5708AB8F" w14:textId="77777777" w:rsidR="00620ABB" w:rsidRPr="00A84C6E" w:rsidRDefault="00620ABB" w:rsidP="00C86A69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A84C6E">
              <w:rPr>
                <w:rFonts w:eastAsia="Calibr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A84C6E">
              <w:rPr>
                <w:rFonts w:eastAsia="Calibri" w:cstheme="minorHAnsi"/>
                <w:sz w:val="16"/>
                <w:szCs w:val="16"/>
              </w:rPr>
              <w:t xml:space="preserve"> slovenský jazyk</w:t>
            </w:r>
          </w:p>
        </w:tc>
      </w:tr>
      <w:tr w:rsidR="00620ABB" w:rsidRPr="0064177F" w14:paraId="6ED6E856" w14:textId="77777777" w:rsidTr="00C86A69">
        <w:trPr>
          <w:trHeight w:val="567"/>
        </w:trPr>
        <w:tc>
          <w:tcPr>
            <w:tcW w:w="9350" w:type="dxa"/>
            <w:gridSpan w:val="2"/>
          </w:tcPr>
          <w:p w14:paraId="624C75FA" w14:textId="77777777" w:rsidR="00620ABB" w:rsidRPr="00A84C6E" w:rsidRDefault="00620ABB" w:rsidP="00C86A69">
            <w:pPr>
              <w:spacing w:after="160" w:line="259" w:lineRule="auto"/>
              <w:rPr>
                <w:rFonts w:eastAsia="Calibri" w:cstheme="minorHAnsi"/>
                <w:sz w:val="16"/>
                <w:szCs w:val="16"/>
              </w:rPr>
            </w:pPr>
            <w:r w:rsidRPr="00A84C6E">
              <w:rPr>
                <w:rFonts w:eastAsia="Calibri" w:cstheme="minorHAnsi"/>
                <w:b/>
                <w:sz w:val="16"/>
                <w:szCs w:val="16"/>
              </w:rPr>
              <w:t>Poznámky:</w:t>
            </w:r>
            <w:r w:rsidRPr="00A84C6E">
              <w:rPr>
                <w:rFonts w:eastAsia="Calibri" w:cstheme="minorHAnsi"/>
                <w:sz w:val="16"/>
                <w:szCs w:val="16"/>
              </w:rPr>
              <w:t xml:space="preserve">  povinný predmet</w:t>
            </w:r>
          </w:p>
          <w:tbl>
            <w:tblPr>
              <w:tblW w:w="92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54" w:type="dxa"/>
                <w:left w:w="60" w:type="dxa"/>
                <w:right w:w="98" w:type="dxa"/>
              </w:tblCellMar>
              <w:tblLook w:val="00A0" w:firstRow="1" w:lastRow="0" w:firstColumn="1" w:lastColumn="0" w:noHBand="0" w:noVBand="0"/>
            </w:tblPr>
            <w:tblGrid>
              <w:gridCol w:w="1607"/>
              <w:gridCol w:w="1603"/>
              <w:gridCol w:w="1604"/>
              <w:gridCol w:w="1604"/>
              <w:gridCol w:w="1604"/>
              <w:gridCol w:w="1194"/>
            </w:tblGrid>
            <w:tr w:rsidR="00620ABB" w:rsidRPr="00A84C6E" w14:paraId="64CF2E5A" w14:textId="77777777" w:rsidTr="00C86A69">
              <w:trPr>
                <w:trHeight w:val="384"/>
              </w:trPr>
              <w:tc>
                <w:tcPr>
                  <w:tcW w:w="9216" w:type="dxa"/>
                  <w:gridSpan w:val="6"/>
                </w:tcPr>
                <w:p w14:paraId="2A56F3AE" w14:textId="77777777" w:rsidR="00620ABB" w:rsidRPr="00A84C6E" w:rsidRDefault="00620ABB" w:rsidP="00C86A6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A84C6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Hodnotenie predmetov</w:t>
                  </w:r>
                </w:p>
              </w:tc>
            </w:tr>
            <w:tr w:rsidR="00620ABB" w:rsidRPr="00A84C6E" w14:paraId="6978F6D5" w14:textId="77777777" w:rsidTr="00C86A69">
              <w:trPr>
                <w:trHeight w:val="420"/>
              </w:trPr>
              <w:tc>
                <w:tcPr>
                  <w:tcW w:w="1607" w:type="dxa"/>
                </w:tcPr>
                <w:p w14:paraId="7B323238" w14:textId="77777777" w:rsidR="00620ABB" w:rsidRPr="00A84C6E" w:rsidRDefault="00620ABB" w:rsidP="00C86A69">
                  <w:pPr>
                    <w:ind w:left="42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84C6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603" w:type="dxa"/>
                </w:tcPr>
                <w:p w14:paraId="4FBD9464" w14:textId="77777777" w:rsidR="00620ABB" w:rsidRPr="00A84C6E" w:rsidRDefault="00620ABB" w:rsidP="00C86A69">
                  <w:pPr>
                    <w:ind w:left="38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84C6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604" w:type="dxa"/>
                </w:tcPr>
                <w:p w14:paraId="36F29885" w14:textId="77777777" w:rsidR="00620ABB" w:rsidRPr="00A84C6E" w:rsidRDefault="00620ABB" w:rsidP="00C86A69">
                  <w:pPr>
                    <w:ind w:left="38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84C6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604" w:type="dxa"/>
                </w:tcPr>
                <w:p w14:paraId="13D1F824" w14:textId="77777777" w:rsidR="00620ABB" w:rsidRPr="00A84C6E" w:rsidRDefault="00620ABB" w:rsidP="00C86A69">
                  <w:pPr>
                    <w:ind w:left="38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84C6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604" w:type="dxa"/>
                </w:tcPr>
                <w:p w14:paraId="79293E0A" w14:textId="77777777" w:rsidR="00620ABB" w:rsidRPr="00A84C6E" w:rsidRDefault="00620ABB" w:rsidP="00C86A69">
                  <w:pPr>
                    <w:ind w:left="38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84C6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194" w:type="dxa"/>
                </w:tcPr>
                <w:p w14:paraId="3E3DF1FB" w14:textId="77777777" w:rsidR="00620ABB" w:rsidRPr="00A84C6E" w:rsidRDefault="00620ABB" w:rsidP="00C86A69">
                  <w:pPr>
                    <w:ind w:left="34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84C6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FX</w:t>
                  </w:r>
                </w:p>
              </w:tc>
            </w:tr>
            <w:tr w:rsidR="00620ABB" w:rsidRPr="00A84C6E" w14:paraId="375A392D" w14:textId="77777777" w:rsidTr="00C86A69">
              <w:trPr>
                <w:trHeight w:val="342"/>
              </w:trPr>
              <w:tc>
                <w:tcPr>
                  <w:tcW w:w="1607" w:type="dxa"/>
                </w:tcPr>
                <w:p w14:paraId="60A2429C" w14:textId="77777777" w:rsidR="00620ABB" w:rsidRPr="00A84C6E" w:rsidRDefault="00620ABB" w:rsidP="00C86A69">
                  <w:pPr>
                    <w:ind w:left="42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4C6E">
                    <w:rPr>
                      <w:rFonts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603" w:type="dxa"/>
                </w:tcPr>
                <w:p w14:paraId="4BE256D4" w14:textId="77777777" w:rsidR="00620ABB" w:rsidRPr="00A84C6E" w:rsidRDefault="00620ABB" w:rsidP="00C86A69">
                  <w:pPr>
                    <w:ind w:left="3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4C6E">
                    <w:rPr>
                      <w:rFonts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604" w:type="dxa"/>
                </w:tcPr>
                <w:p w14:paraId="4529DC08" w14:textId="77777777" w:rsidR="00620ABB" w:rsidRPr="00A84C6E" w:rsidRDefault="00620ABB" w:rsidP="00C86A69">
                  <w:pPr>
                    <w:ind w:left="3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4C6E">
                    <w:rPr>
                      <w:rFonts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604" w:type="dxa"/>
                </w:tcPr>
                <w:p w14:paraId="71EAF0A6" w14:textId="77777777" w:rsidR="00620ABB" w:rsidRPr="00A84C6E" w:rsidRDefault="00620ABB" w:rsidP="00C86A69">
                  <w:pPr>
                    <w:ind w:left="3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4C6E">
                    <w:rPr>
                      <w:rFonts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604" w:type="dxa"/>
                </w:tcPr>
                <w:p w14:paraId="5D1F1706" w14:textId="77777777" w:rsidR="00620ABB" w:rsidRPr="00A84C6E" w:rsidRDefault="00620ABB" w:rsidP="00C86A69">
                  <w:pPr>
                    <w:ind w:left="3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4C6E">
                    <w:rPr>
                      <w:rFonts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194" w:type="dxa"/>
                </w:tcPr>
                <w:p w14:paraId="0CC331CD" w14:textId="77777777" w:rsidR="00620ABB" w:rsidRPr="00A84C6E" w:rsidRDefault="00620ABB" w:rsidP="00C86A69">
                  <w:pPr>
                    <w:ind w:left="34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4C6E">
                    <w:rPr>
                      <w:rFonts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1B503390" w14:textId="77777777" w:rsidR="00620ABB" w:rsidRPr="00A84C6E" w:rsidRDefault="00620ABB" w:rsidP="00C86A69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20ABB" w:rsidRPr="0064177F" w14:paraId="11A91845" w14:textId="77777777" w:rsidTr="00C86A69">
        <w:trPr>
          <w:trHeight w:val="378"/>
        </w:trPr>
        <w:tc>
          <w:tcPr>
            <w:tcW w:w="9350" w:type="dxa"/>
            <w:gridSpan w:val="2"/>
          </w:tcPr>
          <w:p w14:paraId="459C20F4" w14:textId="77777777" w:rsidR="00620ABB" w:rsidRPr="00A84C6E" w:rsidRDefault="00620ABB" w:rsidP="00C86A69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A84C6E">
              <w:rPr>
                <w:rFonts w:eastAsia="Calibri" w:cstheme="minorHAnsi"/>
                <w:b/>
                <w:sz w:val="16"/>
                <w:szCs w:val="16"/>
              </w:rPr>
              <w:t>Vyučujúci:</w:t>
            </w:r>
            <w:r w:rsidRPr="00A84C6E">
              <w:rPr>
                <w:rFonts w:eastAsia="Calibri" w:cstheme="minorHAnsi"/>
                <w:sz w:val="16"/>
                <w:szCs w:val="16"/>
              </w:rPr>
              <w:t xml:space="preserve">   Doc. Phdr. Eva Šovčíková, PhD, - prednášky + semináre</w:t>
            </w:r>
          </w:p>
        </w:tc>
      </w:tr>
      <w:tr w:rsidR="00620ABB" w:rsidRPr="0064177F" w14:paraId="7BABB254" w14:textId="77777777" w:rsidTr="00C86A69">
        <w:trPr>
          <w:trHeight w:val="378"/>
        </w:trPr>
        <w:tc>
          <w:tcPr>
            <w:tcW w:w="9350" w:type="dxa"/>
            <w:gridSpan w:val="2"/>
          </w:tcPr>
          <w:p w14:paraId="1F14CA90" w14:textId="77777777" w:rsidR="00620ABB" w:rsidRPr="00A84C6E" w:rsidRDefault="00620ABB" w:rsidP="00C86A69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A84C6E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Dátum poslednej zmeny: </w:t>
            </w:r>
            <w:r w:rsidRPr="00A84C6E">
              <w:rPr>
                <w:rFonts w:eastAsia="Calibri" w:cstheme="minorHAnsi"/>
                <w:color w:val="000000" w:themeColor="text1"/>
                <w:sz w:val="16"/>
                <w:szCs w:val="16"/>
              </w:rPr>
              <w:t>24.08.2023</w:t>
            </w:r>
          </w:p>
        </w:tc>
      </w:tr>
      <w:tr w:rsidR="00620ABB" w:rsidRPr="0064177F" w14:paraId="67082602" w14:textId="77777777" w:rsidTr="00C86A69">
        <w:trPr>
          <w:trHeight w:val="378"/>
        </w:trPr>
        <w:tc>
          <w:tcPr>
            <w:tcW w:w="9350" w:type="dxa"/>
            <w:gridSpan w:val="2"/>
          </w:tcPr>
          <w:p w14:paraId="04E52D51" w14:textId="77777777" w:rsidR="00620ABB" w:rsidRPr="00A84C6E" w:rsidRDefault="00620ABB" w:rsidP="00C86A69">
            <w:pPr>
              <w:spacing w:after="160" w:line="259" w:lineRule="auto"/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</w:pPr>
            <w:r w:rsidRPr="00A84C6E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Schválil:  doc. PhDr. Eva Šovčíková, PhD.</w:t>
            </w:r>
          </w:p>
        </w:tc>
      </w:tr>
    </w:tbl>
    <w:p w14:paraId="3AC6E872" w14:textId="77777777" w:rsidR="004A3046" w:rsidRPr="00CA00FE" w:rsidRDefault="004A3046" w:rsidP="00CA00FE">
      <w:pPr>
        <w:rPr>
          <w:rFonts w:cstheme="minorHAnsi"/>
          <w:sz w:val="20"/>
          <w:szCs w:val="20"/>
        </w:rPr>
      </w:pPr>
    </w:p>
    <w:sectPr w:rsidR="004A3046" w:rsidRPr="00CA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0D7"/>
    <w:multiLevelType w:val="multilevel"/>
    <w:tmpl w:val="E6BE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002DCA"/>
    <w:multiLevelType w:val="hybridMultilevel"/>
    <w:tmpl w:val="F3162C1C"/>
    <w:lvl w:ilvl="0" w:tplc="BB3A402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3C4E"/>
    <w:multiLevelType w:val="hybridMultilevel"/>
    <w:tmpl w:val="2DC8C442"/>
    <w:lvl w:ilvl="0" w:tplc="B316ECC0">
      <w:start w:val="1"/>
      <w:numFmt w:val="decimal"/>
      <w:lvlText w:val="%1."/>
      <w:lvlJc w:val="left"/>
      <w:pPr>
        <w:ind w:left="530" w:hanging="360"/>
      </w:pPr>
      <w:rPr>
        <w:rFonts w:cs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50" w:hanging="360"/>
      </w:pPr>
    </w:lvl>
    <w:lvl w:ilvl="2" w:tplc="0424001B" w:tentative="1">
      <w:start w:val="1"/>
      <w:numFmt w:val="lowerRoman"/>
      <w:lvlText w:val="%3."/>
      <w:lvlJc w:val="right"/>
      <w:pPr>
        <w:ind w:left="1970" w:hanging="180"/>
      </w:pPr>
    </w:lvl>
    <w:lvl w:ilvl="3" w:tplc="0424000F" w:tentative="1">
      <w:start w:val="1"/>
      <w:numFmt w:val="decimal"/>
      <w:lvlText w:val="%4."/>
      <w:lvlJc w:val="left"/>
      <w:pPr>
        <w:ind w:left="2690" w:hanging="360"/>
      </w:pPr>
    </w:lvl>
    <w:lvl w:ilvl="4" w:tplc="04240019" w:tentative="1">
      <w:start w:val="1"/>
      <w:numFmt w:val="lowerLetter"/>
      <w:lvlText w:val="%5."/>
      <w:lvlJc w:val="left"/>
      <w:pPr>
        <w:ind w:left="3410" w:hanging="360"/>
      </w:pPr>
    </w:lvl>
    <w:lvl w:ilvl="5" w:tplc="0424001B" w:tentative="1">
      <w:start w:val="1"/>
      <w:numFmt w:val="lowerRoman"/>
      <w:lvlText w:val="%6."/>
      <w:lvlJc w:val="right"/>
      <w:pPr>
        <w:ind w:left="4130" w:hanging="180"/>
      </w:pPr>
    </w:lvl>
    <w:lvl w:ilvl="6" w:tplc="0424000F" w:tentative="1">
      <w:start w:val="1"/>
      <w:numFmt w:val="decimal"/>
      <w:lvlText w:val="%7."/>
      <w:lvlJc w:val="left"/>
      <w:pPr>
        <w:ind w:left="4850" w:hanging="360"/>
      </w:pPr>
    </w:lvl>
    <w:lvl w:ilvl="7" w:tplc="04240019" w:tentative="1">
      <w:start w:val="1"/>
      <w:numFmt w:val="lowerLetter"/>
      <w:lvlText w:val="%8."/>
      <w:lvlJc w:val="left"/>
      <w:pPr>
        <w:ind w:left="5570" w:hanging="360"/>
      </w:pPr>
    </w:lvl>
    <w:lvl w:ilvl="8" w:tplc="0424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05F4D85"/>
    <w:multiLevelType w:val="hybridMultilevel"/>
    <w:tmpl w:val="64AA6D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04337"/>
    <w:multiLevelType w:val="hybridMultilevel"/>
    <w:tmpl w:val="76E0DE04"/>
    <w:lvl w:ilvl="0" w:tplc="0424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5" w15:restartNumberingAfterBreak="0">
    <w:nsid w:val="52C5272A"/>
    <w:multiLevelType w:val="hybridMultilevel"/>
    <w:tmpl w:val="55EE1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70FB8"/>
    <w:multiLevelType w:val="hybridMultilevel"/>
    <w:tmpl w:val="6E9860B2"/>
    <w:lvl w:ilvl="0" w:tplc="0407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7" w15:restartNumberingAfterBreak="0">
    <w:nsid w:val="683B78AB"/>
    <w:multiLevelType w:val="hybridMultilevel"/>
    <w:tmpl w:val="17F8C990"/>
    <w:lvl w:ilvl="0" w:tplc="32484000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8B6C52AA">
      <w:numFmt w:val="bullet"/>
      <w:lvlText w:val="•"/>
      <w:lvlJc w:val="left"/>
      <w:pPr>
        <w:ind w:left="1417" w:hanging="360"/>
      </w:pPr>
      <w:rPr>
        <w:rFonts w:hint="default"/>
        <w:lang w:val="sk-SK" w:eastAsia="en-US" w:bidi="ar-SA"/>
      </w:rPr>
    </w:lvl>
    <w:lvl w:ilvl="2" w:tplc="DAE066C2">
      <w:numFmt w:val="bullet"/>
      <w:lvlText w:val="•"/>
      <w:lvlJc w:val="left"/>
      <w:pPr>
        <w:ind w:left="2294" w:hanging="360"/>
      </w:pPr>
      <w:rPr>
        <w:rFonts w:hint="default"/>
        <w:lang w:val="sk-SK" w:eastAsia="en-US" w:bidi="ar-SA"/>
      </w:rPr>
    </w:lvl>
    <w:lvl w:ilvl="3" w:tplc="994A396E">
      <w:numFmt w:val="bullet"/>
      <w:lvlText w:val="•"/>
      <w:lvlJc w:val="left"/>
      <w:pPr>
        <w:ind w:left="3171" w:hanging="360"/>
      </w:pPr>
      <w:rPr>
        <w:rFonts w:hint="default"/>
        <w:lang w:val="sk-SK" w:eastAsia="en-US" w:bidi="ar-SA"/>
      </w:rPr>
    </w:lvl>
    <w:lvl w:ilvl="4" w:tplc="BD1C5CF4">
      <w:numFmt w:val="bullet"/>
      <w:lvlText w:val="•"/>
      <w:lvlJc w:val="left"/>
      <w:pPr>
        <w:ind w:left="4049" w:hanging="360"/>
      </w:pPr>
      <w:rPr>
        <w:rFonts w:hint="default"/>
        <w:lang w:val="sk-SK" w:eastAsia="en-US" w:bidi="ar-SA"/>
      </w:rPr>
    </w:lvl>
    <w:lvl w:ilvl="5" w:tplc="9650ED18">
      <w:numFmt w:val="bullet"/>
      <w:lvlText w:val="•"/>
      <w:lvlJc w:val="left"/>
      <w:pPr>
        <w:ind w:left="4926" w:hanging="360"/>
      </w:pPr>
      <w:rPr>
        <w:rFonts w:hint="default"/>
        <w:lang w:val="sk-SK" w:eastAsia="en-US" w:bidi="ar-SA"/>
      </w:rPr>
    </w:lvl>
    <w:lvl w:ilvl="6" w:tplc="6A92BA9E">
      <w:numFmt w:val="bullet"/>
      <w:lvlText w:val="•"/>
      <w:lvlJc w:val="left"/>
      <w:pPr>
        <w:ind w:left="5803" w:hanging="360"/>
      </w:pPr>
      <w:rPr>
        <w:rFonts w:hint="default"/>
        <w:lang w:val="sk-SK" w:eastAsia="en-US" w:bidi="ar-SA"/>
      </w:rPr>
    </w:lvl>
    <w:lvl w:ilvl="7" w:tplc="F06C052A">
      <w:numFmt w:val="bullet"/>
      <w:lvlText w:val="•"/>
      <w:lvlJc w:val="left"/>
      <w:pPr>
        <w:ind w:left="6681" w:hanging="360"/>
      </w:pPr>
      <w:rPr>
        <w:rFonts w:hint="default"/>
        <w:lang w:val="sk-SK" w:eastAsia="en-US" w:bidi="ar-SA"/>
      </w:rPr>
    </w:lvl>
    <w:lvl w:ilvl="8" w:tplc="71F4340E">
      <w:numFmt w:val="bullet"/>
      <w:lvlText w:val="•"/>
      <w:lvlJc w:val="left"/>
      <w:pPr>
        <w:ind w:left="7558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78D553F4"/>
    <w:multiLevelType w:val="hybridMultilevel"/>
    <w:tmpl w:val="FD487330"/>
    <w:lvl w:ilvl="0" w:tplc="32484000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483358389">
    <w:abstractNumId w:val="7"/>
  </w:num>
  <w:num w:numId="2" w16cid:durableId="1601642189">
    <w:abstractNumId w:val="0"/>
  </w:num>
  <w:num w:numId="3" w16cid:durableId="612400329">
    <w:abstractNumId w:val="8"/>
  </w:num>
  <w:num w:numId="4" w16cid:durableId="290207012">
    <w:abstractNumId w:val="5"/>
  </w:num>
  <w:num w:numId="5" w16cid:durableId="73014132">
    <w:abstractNumId w:val="6"/>
  </w:num>
  <w:num w:numId="6" w16cid:durableId="302084899">
    <w:abstractNumId w:val="4"/>
  </w:num>
  <w:num w:numId="7" w16cid:durableId="520242729">
    <w:abstractNumId w:val="2"/>
  </w:num>
  <w:num w:numId="8" w16cid:durableId="40787666">
    <w:abstractNumId w:val="1"/>
  </w:num>
  <w:num w:numId="9" w16cid:durableId="212068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46"/>
    <w:rsid w:val="00003E3D"/>
    <w:rsid w:val="00055085"/>
    <w:rsid w:val="000E31BB"/>
    <w:rsid w:val="00110401"/>
    <w:rsid w:val="00122AE7"/>
    <w:rsid w:val="001A302A"/>
    <w:rsid w:val="001D3385"/>
    <w:rsid w:val="001F56C9"/>
    <w:rsid w:val="002036BE"/>
    <w:rsid w:val="0021380A"/>
    <w:rsid w:val="00293246"/>
    <w:rsid w:val="002C4F96"/>
    <w:rsid w:val="00367762"/>
    <w:rsid w:val="003C5130"/>
    <w:rsid w:val="00464FCC"/>
    <w:rsid w:val="004A14FE"/>
    <w:rsid w:val="004A3046"/>
    <w:rsid w:val="004D4EB4"/>
    <w:rsid w:val="005509AC"/>
    <w:rsid w:val="00586370"/>
    <w:rsid w:val="00597864"/>
    <w:rsid w:val="00620ABB"/>
    <w:rsid w:val="00626EF1"/>
    <w:rsid w:val="00630A8F"/>
    <w:rsid w:val="0064177F"/>
    <w:rsid w:val="00641C45"/>
    <w:rsid w:val="006915F5"/>
    <w:rsid w:val="006C4495"/>
    <w:rsid w:val="0071248A"/>
    <w:rsid w:val="0073531E"/>
    <w:rsid w:val="00763493"/>
    <w:rsid w:val="00775FED"/>
    <w:rsid w:val="00780F22"/>
    <w:rsid w:val="00792378"/>
    <w:rsid w:val="00814178"/>
    <w:rsid w:val="00892D19"/>
    <w:rsid w:val="008C70A0"/>
    <w:rsid w:val="008E54D9"/>
    <w:rsid w:val="00902671"/>
    <w:rsid w:val="009321D0"/>
    <w:rsid w:val="00A31560"/>
    <w:rsid w:val="00A84C6E"/>
    <w:rsid w:val="00AF24A1"/>
    <w:rsid w:val="00B4396A"/>
    <w:rsid w:val="00BF2DF6"/>
    <w:rsid w:val="00C77359"/>
    <w:rsid w:val="00CA00FE"/>
    <w:rsid w:val="00CC6D2A"/>
    <w:rsid w:val="00CE1BAA"/>
    <w:rsid w:val="00D01666"/>
    <w:rsid w:val="00D16429"/>
    <w:rsid w:val="00D350F4"/>
    <w:rsid w:val="00D80CFF"/>
    <w:rsid w:val="00DA246C"/>
    <w:rsid w:val="00DD6D18"/>
    <w:rsid w:val="00E16406"/>
    <w:rsid w:val="00F06CA3"/>
    <w:rsid w:val="00F10981"/>
    <w:rsid w:val="00F1570E"/>
    <w:rsid w:val="00F5647B"/>
    <w:rsid w:val="00FE096F"/>
    <w:rsid w:val="00FF1F21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038F"/>
  <w15:chartTrackingRefBased/>
  <w15:docId w15:val="{98B1BF33-E533-4D8B-99A0-16BF3574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0ABB"/>
    <w:rPr>
      <w:lang w:val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637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4472C4" w:themeColor="accent1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A3046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4A3046"/>
    <w:pPr>
      <w:spacing w:after="0" w:line="240" w:lineRule="auto"/>
      <w:ind w:left="170"/>
      <w:jc w:val="both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4A3046"/>
    <w:rPr>
      <w:rFonts w:ascii="Calibri" w:eastAsia="Calibri" w:hAnsi="Calibri" w:cs="Calibri"/>
      <w:kern w:val="0"/>
      <w:sz w:val="18"/>
      <w:szCs w:val="18"/>
      <w:lang w:val="sk-SK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A3046"/>
    <w:pPr>
      <w:spacing w:after="0" w:line="240" w:lineRule="auto"/>
      <w:ind w:left="170"/>
      <w:jc w:val="both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4A3046"/>
    <w:pPr>
      <w:spacing w:after="0" w:line="240" w:lineRule="auto"/>
      <w:ind w:left="107"/>
      <w:jc w:val="both"/>
    </w:pPr>
    <w:rPr>
      <w:rFonts w:ascii="Calibri" w:eastAsia="Calibri" w:hAnsi="Calibri" w:cs="Calibri"/>
      <w:kern w:val="0"/>
      <w14:ligatures w14:val="none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902671"/>
    <w:pPr>
      <w:ind w:left="720"/>
      <w:contextualSpacing/>
    </w:pPr>
    <w:rPr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6370"/>
    <w:rPr>
      <w:rFonts w:asciiTheme="majorHAnsi" w:eastAsiaTheme="majorEastAsia" w:hAnsiTheme="majorHAnsi" w:cs="Times New Roman"/>
      <w:b/>
      <w:bCs/>
      <w:color w:val="4472C4" w:themeColor="accent1"/>
      <w:kern w:val="0"/>
      <w:lang w:val="sk-SK"/>
      <w14:ligatures w14:val="none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CE1BAA"/>
    <w:rPr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3677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7762"/>
    <w:pPr>
      <w:spacing w:line="240" w:lineRule="auto"/>
    </w:pPr>
    <w:rPr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7762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77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7762"/>
    <w:rPr>
      <w:b/>
      <w:bCs/>
      <w:sz w:val="20"/>
      <w:szCs w:val="20"/>
      <w:lang w:val="en-US"/>
    </w:rPr>
  </w:style>
  <w:style w:type="table" w:customStyle="1" w:styleId="Mriekatabuky3">
    <w:name w:val="Mriežka tabuľky3"/>
    <w:basedOn w:val="Normlnatabuka"/>
    <w:next w:val="Mriekatabuky"/>
    <w:uiPriority w:val="39"/>
    <w:rsid w:val="00F5647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Šovčíková</dc:creator>
  <cp:keywords/>
  <dc:description/>
  <cp:lastModifiedBy>Sona Rossi</cp:lastModifiedBy>
  <cp:revision>30</cp:revision>
  <dcterms:created xsi:type="dcterms:W3CDTF">2023-08-25T20:47:00Z</dcterms:created>
  <dcterms:modified xsi:type="dcterms:W3CDTF">2023-09-18T08:36:00Z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255d66f040c63387ca7a30faa9a094f41a26ab6635b5241d422d1abdc74cbfcf</vt:lpwstr>
  </property>
</Properties>
</file>